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3C3208" w14:textId="6394EBD4" w:rsidR="55855D9D" w:rsidRDefault="55855D9D">
      <w:r w:rsidRPr="55855D9D">
        <w:rPr>
          <w:b/>
          <w:bCs/>
          <w:color w:val="000000" w:themeColor="text1"/>
          <w:sz w:val="38"/>
          <w:szCs w:val="38"/>
        </w:rPr>
        <w:t>Změny v přílohách Metodického postupu pro práci s VFP k</w:t>
      </w:r>
      <w:r w:rsidR="00724B85">
        <w:rPr>
          <w:b/>
          <w:bCs/>
          <w:color w:val="000000" w:themeColor="text1"/>
          <w:sz w:val="38"/>
          <w:szCs w:val="38"/>
        </w:rPr>
        <w:t> 15.7</w:t>
      </w:r>
      <w:r w:rsidRPr="55855D9D">
        <w:rPr>
          <w:b/>
          <w:bCs/>
          <w:color w:val="000000" w:themeColor="text1"/>
          <w:sz w:val="38"/>
          <w:szCs w:val="38"/>
        </w:rPr>
        <w:t>. 2022 (verze VFP 4.5)</w:t>
      </w:r>
    </w:p>
    <w:p w14:paraId="4A62EF3D" w14:textId="20C68890" w:rsidR="55855D9D" w:rsidRDefault="55855D9D">
      <w:r w:rsidRPr="55855D9D">
        <w:rPr>
          <w:color w:val="000000" w:themeColor="text1"/>
        </w:rPr>
        <w:t xml:space="preserve"> </w:t>
      </w:r>
    </w:p>
    <w:p w14:paraId="717574FA" w14:textId="153CEE05" w:rsidR="003B4B88" w:rsidRDefault="73C01870" w:rsidP="55855D9D">
      <w:pPr>
        <w:pStyle w:val="Odstavecseseznamem"/>
        <w:numPr>
          <w:ilvl w:val="0"/>
          <w:numId w:val="7"/>
        </w:numPr>
        <w:rPr>
          <w:b/>
          <w:color w:val="000000" w:themeColor="text1"/>
          <w:sz w:val="24"/>
          <w:szCs w:val="24"/>
        </w:rPr>
      </w:pPr>
      <w:r w:rsidRPr="55855D9D">
        <w:rPr>
          <w:b/>
          <w:sz w:val="24"/>
          <w:szCs w:val="24"/>
        </w:rPr>
        <w:t>Příloha 1 – Definice struktury výměnného formátu</w:t>
      </w:r>
    </w:p>
    <w:p w14:paraId="02B403D8" w14:textId="3C2A876B" w:rsidR="73C01870" w:rsidRDefault="73C01870" w:rsidP="55855D9D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55855D9D">
        <w:t>Kapitola 2 c) i) 1 a), kapitola 3.1.3 d) – v objektu &lt;narok&gt;&lt;lv&gt;&lt;par&gt; doplněny nepovinné podřízené objekty &lt;dszs&gt; a &lt;dsz&gt;, které obsahují seznam důvodů pro začlenění parcely pod režim §3 odst.3 zákona (souhlas vlastníka s řešením).</w:t>
      </w:r>
    </w:p>
    <w:p w14:paraId="16A87F84" w14:textId="24D401F0" w:rsidR="73C01870" w:rsidRDefault="1E417932" w:rsidP="55855D9D">
      <w:pPr>
        <w:pStyle w:val="Odstavecseseznamem"/>
        <w:numPr>
          <w:ilvl w:val="0"/>
          <w:numId w:val="6"/>
        </w:numPr>
        <w:rPr>
          <w:color w:val="000000" w:themeColor="text1"/>
        </w:rPr>
      </w:pPr>
      <w:r>
        <w:t xml:space="preserve">Kapitola 2 u), kapitola 3.1.22 – nový objekt &lt;psz2022&gt; pro datovou sadu prvků výkresů G4 a G5 vyhotovených podle Technického standardu PSZ z roku 2022. </w:t>
      </w:r>
    </w:p>
    <w:p w14:paraId="3374FBAF" w14:textId="2631190E" w:rsidR="002036AB" w:rsidRDefault="1E417932" w:rsidP="1E417932">
      <w:pPr>
        <w:pStyle w:val="Odstavecseseznamem"/>
        <w:numPr>
          <w:ilvl w:val="0"/>
          <w:numId w:val="6"/>
        </w:numPr>
        <w:rPr>
          <w:rStyle w:val="normaltextrun"/>
          <w:color w:val="000000" w:themeColor="text1"/>
        </w:rPr>
      </w:pPr>
      <w:r w:rsidRPr="1E417932">
        <w:rPr>
          <w:rStyle w:val="normaltextrun"/>
        </w:rPr>
        <w:t xml:space="preserve">Kapitola 3.1.1 a) 9) c) – upřesnění popis atributu </w:t>
      </w:r>
      <w:r w:rsidRPr="1E417932">
        <w:rPr>
          <w:rStyle w:val="spellingerror"/>
        </w:rPr>
        <w:t>ocv</w:t>
      </w:r>
      <w:r w:rsidRPr="1E417932">
        <w:rPr>
          <w:rStyle w:val="normaltextrun"/>
        </w:rPr>
        <w:t xml:space="preserve"> (označení oceňovací vyhlášky) objektu &lt;hlav&gt;.</w:t>
      </w:r>
    </w:p>
    <w:p w14:paraId="69006B02" w14:textId="66BE2B4A" w:rsidR="1E417932" w:rsidRDefault="0D316DCB" w:rsidP="1E417932">
      <w:pPr>
        <w:pStyle w:val="Odstavecseseznamem"/>
        <w:numPr>
          <w:ilvl w:val="0"/>
          <w:numId w:val="6"/>
        </w:numPr>
        <w:rPr>
          <w:color w:val="000000" w:themeColor="text1"/>
        </w:rPr>
      </w:pPr>
      <w:r>
        <w:t xml:space="preserve">Kapitola 3.1.1 a) 15) – nový nepovinný atribut </w:t>
      </w:r>
      <w:r w:rsidRPr="0D316DCB">
        <w:rPr>
          <w:i/>
          <w:iCs/>
        </w:rPr>
        <w:t>nvs</w:t>
      </w:r>
      <w:r>
        <w:t xml:space="preserve"> objektu &lt;hlav&gt; (navýšení nároku státu).</w:t>
      </w:r>
    </w:p>
    <w:p w14:paraId="52C1B04F" w14:textId="38102A6E" w:rsidR="1E417932" w:rsidRDefault="1E417932" w:rsidP="1E417932">
      <w:pPr>
        <w:pStyle w:val="Odstavecseseznamem"/>
        <w:numPr>
          <w:ilvl w:val="0"/>
          <w:numId w:val="6"/>
        </w:numPr>
        <w:rPr>
          <w:color w:val="000000" w:themeColor="text1"/>
        </w:rPr>
      </w:pPr>
      <w:r>
        <w:t xml:space="preserve">Kapitola 3.1.1 a) 10) a) – změn počet desetinných míst atributu </w:t>
      </w:r>
      <w:r w:rsidRPr="1E417932">
        <w:rPr>
          <w:i/>
          <w:iCs/>
        </w:rPr>
        <w:t>ksz</w:t>
      </w:r>
      <w:r>
        <w:t xml:space="preserve"> objektu &lt;hlav&gt; z 8 na 6 (koeficient společných zařízení).</w:t>
      </w:r>
    </w:p>
    <w:p w14:paraId="4B6174A0" w14:textId="6D88DC5E" w:rsidR="73C01870" w:rsidRDefault="1E417932" w:rsidP="55855D9D">
      <w:pPr>
        <w:pStyle w:val="Odstavecseseznamem"/>
        <w:numPr>
          <w:ilvl w:val="0"/>
          <w:numId w:val="6"/>
        </w:numPr>
        <w:rPr>
          <w:color w:val="000000" w:themeColor="text1"/>
        </w:rPr>
      </w:pPr>
      <w:r>
        <w:t xml:space="preserve">Kapitola 3.1.3 c) – zrušen atribut </w:t>
      </w:r>
      <w:r w:rsidRPr="1E417932">
        <w:rPr>
          <w:i/>
          <w:iCs/>
        </w:rPr>
        <w:t>sza</w:t>
      </w:r>
      <w:r>
        <w:t xml:space="preserve"> objektu &lt;narok&gt;&lt;lv&gt;&lt;par&gt; (nahrazen objektem &lt;dszs&gt;, viz výše).</w:t>
      </w:r>
    </w:p>
    <w:p w14:paraId="76A3F31D" w14:textId="2D2BA887" w:rsidR="73C01870" w:rsidRDefault="1E417932" w:rsidP="55855D9D">
      <w:pPr>
        <w:pStyle w:val="Odstavecseseznamem"/>
        <w:numPr>
          <w:ilvl w:val="0"/>
          <w:numId w:val="6"/>
        </w:numPr>
        <w:rPr>
          <w:color w:val="000000" w:themeColor="text1"/>
        </w:rPr>
      </w:pPr>
      <w:r>
        <w:t xml:space="preserve">Kapitola 3.1.4 b) – v objektu &lt;navrh&gt;&lt;lv&gt; doplněn nový nepovinný atribut </w:t>
      </w:r>
      <w:r w:rsidRPr="1E417932">
        <w:rPr>
          <w:i/>
          <w:iCs/>
        </w:rPr>
        <w:t>vc</w:t>
      </w:r>
      <w:r>
        <w:t>, obsahující číslo vlastnického celku (listy vlastnictví se stejným číslem jsou pak považovány za vlastnický celek, který musí mít shodné vlastníky a pro který se kritéria přiměřenosti vyhodnotí dohromady za všechny listy vlastnictví v daném celku).</w:t>
      </w:r>
    </w:p>
    <w:p w14:paraId="70293003" w14:textId="190840E0" w:rsidR="55855D9D" w:rsidRPr="00483BC1" w:rsidRDefault="1E417932" w:rsidP="55855D9D">
      <w:pPr>
        <w:pStyle w:val="Odstavecseseznamem"/>
        <w:numPr>
          <w:ilvl w:val="0"/>
          <w:numId w:val="6"/>
        </w:numPr>
      </w:pPr>
      <w:r>
        <w:t>Kapitola 3.2.3 – nový objekt &lt;ano&gt; pro seznam anotací nadřízeného prvku a nový objekt &lt;</w:t>
      </w:r>
      <w:r w:rsidRPr="1E417932">
        <w:rPr>
          <w:color w:val="000000" w:themeColor="text1"/>
        </w:rPr>
        <w:t xml:space="preserve">tano&gt;, který definuje anotaci prvku (text, jehož obsah je odvozen z atributu </w:t>
      </w:r>
      <w:r w:rsidRPr="1E417932">
        <w:rPr>
          <w:i/>
          <w:iCs/>
          <w:color w:val="000000" w:themeColor="text1"/>
        </w:rPr>
        <w:t>ozn</w:t>
      </w:r>
      <w:r w:rsidRPr="1E417932">
        <w:rPr>
          <w:color w:val="000000" w:themeColor="text1"/>
        </w:rPr>
        <w:t xml:space="preserve"> nadřízeného objektu). </w:t>
      </w:r>
    </w:p>
    <w:p w14:paraId="0FDAEC6F" w14:textId="77777777" w:rsidR="003B4B88" w:rsidRDefault="003B4B88" w:rsidP="00483BC1">
      <w:pPr>
        <w:pStyle w:val="Odstavecseseznamem"/>
      </w:pPr>
    </w:p>
    <w:p w14:paraId="4628C5A7" w14:textId="365E9539" w:rsidR="003B4B88" w:rsidRDefault="73C01870" w:rsidP="00644C0A">
      <w:pPr>
        <w:pStyle w:val="Odstavecseseznamem"/>
        <w:numPr>
          <w:ilvl w:val="0"/>
          <w:numId w:val="7"/>
        </w:numPr>
        <w:spacing w:before="120"/>
        <w:ind w:left="714" w:hanging="357"/>
        <w:rPr>
          <w:b/>
          <w:color w:val="000000" w:themeColor="text1"/>
          <w:sz w:val="24"/>
          <w:szCs w:val="24"/>
        </w:rPr>
      </w:pPr>
      <w:r w:rsidRPr="55855D9D">
        <w:rPr>
          <w:b/>
          <w:sz w:val="24"/>
          <w:szCs w:val="24"/>
        </w:rPr>
        <w:t xml:space="preserve">Příloha 2 </w:t>
      </w:r>
      <w:r w:rsidRPr="55855D9D">
        <w:rPr>
          <w:b/>
        </w:rPr>
        <w:t>–</w:t>
      </w:r>
      <w:r w:rsidRPr="55855D9D">
        <w:rPr>
          <w:b/>
          <w:sz w:val="24"/>
          <w:szCs w:val="24"/>
        </w:rPr>
        <w:t xml:space="preserve"> Kontrola dat přebíraných pomocí VFP</w:t>
      </w:r>
    </w:p>
    <w:p w14:paraId="6603F0BE" w14:textId="226C7440" w:rsidR="55855D9D" w:rsidRDefault="55855D9D" w:rsidP="55855D9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55855D9D">
        <w:t xml:space="preserve">Kapitola 2 – upřesněno, že v etapách 0 až 6 se za parcely v obvodu úprav považuje každá parcela, která zasahuje do obvodu dále než 1 cm od hranice obvodu. U parcely zasahujících do obvodu je třeba mít odtajněné vlastníky (kontroly 102) a jiné oprávněné (103), případně zastupované neznáme účastníky (101) a také se u nich kontroluje topologie, překryt a výskyt v SPI KN (414, 417, 421) a dále varování 429 a 430. </w:t>
      </w:r>
    </w:p>
    <w:p w14:paraId="3A738ABC" w14:textId="4245D680" w:rsidR="73C01870" w:rsidRDefault="73C01870" w:rsidP="55855D9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55855D9D">
        <w:t>Kapitola 2.1 – nová kontrola (kód chyby 006), zda navýšení nároku státu není zadáno pro koeficient výměry menší než 1.</w:t>
      </w:r>
    </w:p>
    <w:p w14:paraId="447B5D8C" w14:textId="0D90B391" w:rsidR="55855D9D" w:rsidRDefault="73C01870" w:rsidP="55855D9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55855D9D">
        <w:rPr>
          <w:color w:val="000000" w:themeColor="text1"/>
        </w:rPr>
        <w:t>Kapitola 2.</w:t>
      </w:r>
      <w:r w:rsidR="55855D9D" w:rsidRPr="55855D9D">
        <w:rPr>
          <w:color w:val="000000" w:themeColor="text1"/>
        </w:rPr>
        <w:t>1 – změna hodnoty přípustného rozdílu koeficientu výměry a podílu součtu výměr všech ploch obvodů pozemkových úprav (kód varování 001) z hodnoty 0,000001 na 0,0005.</w:t>
      </w:r>
    </w:p>
    <w:p w14:paraId="56EF919B" w14:textId="3CFD94D5" w:rsidR="73C01870" w:rsidRDefault="55855D9D" w:rsidP="55855D9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55855D9D">
        <w:t>Kapitola 2.1</w:t>
      </w:r>
      <w:r w:rsidR="73C01870" w:rsidRPr="55855D9D">
        <w:t xml:space="preserve"> – nová kontrola (kód varování 007), zda hodnota navýšení nároku státu odpovídá koeficientu výměry.</w:t>
      </w:r>
    </w:p>
    <w:p w14:paraId="09DE96CE" w14:textId="5950C43E" w:rsidR="003B4B88" w:rsidRDefault="73C01870" w:rsidP="55855D9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55855D9D">
        <w:t>V kapitole 2.5 upřesněno, že kontroly se týkají datové sady PSZ vyhotovené dle TS PSZ 2016 nebo dle TS PSZ 2022</w:t>
      </w:r>
      <w:r w:rsidRPr="55855D9D">
        <w:rPr>
          <w:i/>
        </w:rPr>
        <w:t>.</w:t>
      </w:r>
    </w:p>
    <w:p w14:paraId="35AC67F5" w14:textId="6C2A9F95" w:rsidR="003B4B88" w:rsidRDefault="73C01870" w:rsidP="55855D9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55855D9D">
        <w:t xml:space="preserve">Kapitola 2.5 – nové kontroly (kódy varování 328, 329 a 330) výskytu vybraných prvků výkresu zaměření skutečného stavu uvnitř záboru (prvku </w:t>
      </w:r>
      <w:r w:rsidRPr="55855D9D">
        <w:rPr>
          <w:i/>
        </w:rPr>
        <w:t>hranice navržených parcel pro opatření ke zpřístupnění pozemků</w:t>
      </w:r>
      <w:r w:rsidRPr="55855D9D">
        <w:t xml:space="preserve">, </w:t>
      </w:r>
      <w:r w:rsidRPr="55855D9D">
        <w:rPr>
          <w:i/>
        </w:rPr>
        <w:t>hranice navržených parcel pro opatření na ochranu ZPF</w:t>
      </w:r>
      <w:r w:rsidRPr="55855D9D">
        <w:t xml:space="preserve"> nebo </w:t>
      </w:r>
      <w:r w:rsidRPr="55855D9D">
        <w:rPr>
          <w:i/>
        </w:rPr>
        <w:t>hranice navržených parcel pro vodohospodářská</w:t>
      </w:r>
      <w:r w:rsidRPr="55855D9D">
        <w:t>).</w:t>
      </w:r>
    </w:p>
    <w:p w14:paraId="27F370D5" w14:textId="6A4E0EF2" w:rsidR="00C84173" w:rsidRDefault="73C01870" w:rsidP="55855D9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55855D9D">
        <w:lastRenderedPageBreak/>
        <w:t xml:space="preserve">Kapitola 2.5 – nová kontrola (kód chyby 331) hodnoty atributu </w:t>
      </w:r>
      <w:r w:rsidRPr="55855D9D">
        <w:rPr>
          <w:i/>
        </w:rPr>
        <w:t>nad</w:t>
      </w:r>
      <w:r w:rsidRPr="55855D9D">
        <w:t xml:space="preserve">, která musí odpovídat hodnotě atributu </w:t>
      </w:r>
      <w:r w:rsidRPr="55855D9D">
        <w:rPr>
          <w:i/>
        </w:rPr>
        <w:t>ozn</w:t>
      </w:r>
      <w:r w:rsidRPr="55855D9D">
        <w:t xml:space="preserve"> nadřízeného prvku příslušného typu prvku (např. hodnota atributu nad výhybny musí odpovídat hodnotě atributu ozn polní cesty).</w:t>
      </w:r>
    </w:p>
    <w:p w14:paraId="47103A15" w14:textId="15000A76" w:rsidR="00615447" w:rsidRDefault="73C01870" w:rsidP="55855D9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55855D9D">
        <w:t>Kapitola 2.5 – informace 322: doplněn popis obsahující rok účinnosti použitého TS PSZ (tj. tato informace, původně určená pro upozornění na data dle TS PSZ 2012, nově informuje i o použití TS PSZ 2016).</w:t>
      </w:r>
    </w:p>
    <w:p w14:paraId="457BE24C" w14:textId="0B396D8D" w:rsidR="73C01870" w:rsidRDefault="1E417932" w:rsidP="55855D9D">
      <w:pPr>
        <w:pStyle w:val="Odstavecseseznamem"/>
        <w:numPr>
          <w:ilvl w:val="0"/>
          <w:numId w:val="5"/>
        </w:numPr>
        <w:rPr>
          <w:color w:val="000000" w:themeColor="text1"/>
        </w:rPr>
      </w:pPr>
      <w:r>
        <w:t>Kapitola 2.6.1 – chyba 422: doplněno, že součástí celkové nárokové výměry na LV je případné navýšení nároku státu.</w:t>
      </w:r>
    </w:p>
    <w:p w14:paraId="122C6092" w14:textId="72337003" w:rsidR="55855D9D" w:rsidRDefault="55855D9D" w:rsidP="55855D9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55855D9D">
        <w:t>Kapitola 2.6.1 – nová kontrola (kód varování 429) výskytu duplicitního vlastnictví na LV. Netýká se úprav, u kterých byl vystaven návrh před 1. 1. 2021.</w:t>
      </w:r>
    </w:p>
    <w:p w14:paraId="5BC17716" w14:textId="1255D801" w:rsidR="55855D9D" w:rsidRDefault="55855D9D" w:rsidP="55855D9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55855D9D">
        <w:t>Kapitola 2.6.2 – nová kontrola (kód varování 430) výskytu parcely v přídatném spoluvlastnictví nebo parcely, v jejíž prospěch je přídatné spoluvlastnictví zřízeno. Takové parcely nelze řešit ve smyslu §2 zákona o pozemkových úpravách, ale mohou být v obvodu úprav jako neřešené</w:t>
      </w:r>
    </w:p>
    <w:p w14:paraId="630F3512" w14:textId="3EC25500" w:rsidR="73C01870" w:rsidRDefault="73C01870" w:rsidP="55855D9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55855D9D">
        <w:t>Kapitola 2.14.1 – nová kontrola (kód chyby 1070), zda všechny LV zařazené do konkrétního vlastnického celku mají shodné vlastníky (včetně formy vlastnictví a podílů).</w:t>
      </w:r>
    </w:p>
    <w:p w14:paraId="3E234A83" w14:textId="3774793A" w:rsidR="73C01870" w:rsidRDefault="73C01870" w:rsidP="55855D9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55855D9D">
        <w:t>Kapitola 2.14.1 – varování 1008, 1009, 1010 a 1050: doplněno, že u LV zařazených do vlastnických celků se porovnávají sumární hodnoty za všechny LV daného celku.</w:t>
      </w:r>
    </w:p>
    <w:p w14:paraId="0EE09123" w14:textId="77777777" w:rsidR="73C01870" w:rsidRDefault="73C01870" w:rsidP="55855D9D">
      <w:pPr>
        <w:pStyle w:val="Odstavecseseznamem"/>
        <w:numPr>
          <w:ilvl w:val="0"/>
          <w:numId w:val="5"/>
        </w:numPr>
      </w:pPr>
      <w:r w:rsidRPr="55855D9D">
        <w:t>Kapitola 2.14.4. – varování 1048 a 1049: za základě novely vyhlášky změněno kritérium z</w:t>
      </w:r>
      <w:r w:rsidR="55855D9D" w:rsidRPr="55855D9D">
        <w:t xml:space="preserve"> 80 </w:t>
      </w:r>
      <w:r w:rsidRPr="55855D9D">
        <w:t>% na 90 %.</w:t>
      </w:r>
    </w:p>
    <w:p w14:paraId="569B392F" w14:textId="74EB1D47" w:rsidR="55855D9D" w:rsidRDefault="55855D9D" w:rsidP="0054097E">
      <w:pPr>
        <w:pStyle w:val="Odstavecseseznamem"/>
        <w:rPr>
          <w:color w:val="000000" w:themeColor="text1"/>
        </w:rPr>
      </w:pPr>
    </w:p>
    <w:p w14:paraId="359A23EF" w14:textId="26D22520" w:rsidR="00A8099C" w:rsidRDefault="00A8099C" w:rsidP="00A8099C">
      <w:pPr>
        <w:pStyle w:val="Odstavecseseznamem"/>
        <w:numPr>
          <w:ilvl w:val="0"/>
          <w:numId w:val="7"/>
        </w:numPr>
        <w:rPr>
          <w:b/>
          <w:color w:val="000000" w:themeColor="text1"/>
        </w:rPr>
      </w:pPr>
      <w:r>
        <w:rPr>
          <w:b/>
        </w:rPr>
        <w:t xml:space="preserve">Příloha 3 - </w:t>
      </w:r>
      <w:r w:rsidR="0054289F" w:rsidRPr="0054289F">
        <w:rPr>
          <w:b/>
        </w:rPr>
        <w:t>Režim při předávání dat mezi SPÚ a zpracovatelem</w:t>
      </w:r>
    </w:p>
    <w:p w14:paraId="5C1035C1" w14:textId="0FA50CB9" w:rsidR="001627E5" w:rsidRDefault="00125841" w:rsidP="0054097E">
      <w:pPr>
        <w:pStyle w:val="Odstavecseseznamem"/>
      </w:pPr>
      <w:r>
        <w:t>Doplnění objektu &lt;</w:t>
      </w:r>
      <w:r w:rsidR="00216FB9">
        <w:rPr>
          <w:color w:val="444444"/>
          <w:shd w:val="clear" w:color="auto" w:fill="FFFFFF"/>
        </w:rPr>
        <w:t>psz2022&gt; - výkresy G4-G5 dle TS PSZ 2022</w:t>
      </w:r>
      <w:r w:rsidR="00D65DE9">
        <w:rPr>
          <w:color w:val="444444"/>
          <w:shd w:val="clear" w:color="auto" w:fill="FFFFFF"/>
        </w:rPr>
        <w:t>.</w:t>
      </w:r>
    </w:p>
    <w:p w14:paraId="0E1ECF57" w14:textId="77777777" w:rsidR="00125841" w:rsidRDefault="00125841" w:rsidP="0054097E">
      <w:pPr>
        <w:pStyle w:val="Odstavecseseznamem"/>
      </w:pPr>
    </w:p>
    <w:p w14:paraId="7E3A451E" w14:textId="0C42D0BD" w:rsidR="003B4B88" w:rsidRPr="008A78CD" w:rsidRDefault="7918BE6B" w:rsidP="55855D9D">
      <w:pPr>
        <w:pStyle w:val="Odstavecseseznamem"/>
        <w:numPr>
          <w:ilvl w:val="0"/>
          <w:numId w:val="7"/>
        </w:numPr>
        <w:rPr>
          <w:b/>
          <w:color w:val="000000" w:themeColor="text1"/>
        </w:rPr>
      </w:pPr>
      <w:r w:rsidRPr="55855D9D">
        <w:rPr>
          <w:b/>
        </w:rPr>
        <w:t>Příloha 5 – Číselník chyb</w:t>
      </w:r>
    </w:p>
    <w:p w14:paraId="602D4B2B" w14:textId="7BD52949" w:rsidR="7918BE6B" w:rsidRDefault="7918BE6B" w:rsidP="00483BC1">
      <w:pPr>
        <w:pStyle w:val="Odstavecseseznamem"/>
        <w:numPr>
          <w:ilvl w:val="1"/>
          <w:numId w:val="7"/>
        </w:numPr>
        <w:ind w:left="709"/>
        <w:rPr>
          <w:color w:val="000000" w:themeColor="text1"/>
        </w:rPr>
      </w:pPr>
      <w:r w:rsidRPr="55855D9D">
        <w:t xml:space="preserve">Sloupec </w:t>
      </w:r>
      <w:r w:rsidRPr="55855D9D">
        <w:rPr>
          <w:i/>
        </w:rPr>
        <w:t>chybná hodnota</w:t>
      </w:r>
      <w:r w:rsidRPr="55855D9D">
        <w:t xml:space="preserve"> rozdělen do tří sloupců </w:t>
      </w:r>
      <w:r w:rsidRPr="55855D9D">
        <w:rPr>
          <w:i/>
        </w:rPr>
        <w:t>objekt</w:t>
      </w:r>
      <w:r w:rsidRPr="55855D9D">
        <w:t xml:space="preserve">, </w:t>
      </w:r>
      <w:r w:rsidRPr="55855D9D">
        <w:rPr>
          <w:i/>
        </w:rPr>
        <w:t>hodnota</w:t>
      </w:r>
      <w:r w:rsidRPr="55855D9D">
        <w:t xml:space="preserve"> a </w:t>
      </w:r>
      <w:r w:rsidRPr="55855D9D">
        <w:rPr>
          <w:i/>
        </w:rPr>
        <w:t>souřadnice</w:t>
      </w:r>
      <w:r w:rsidRPr="55855D9D">
        <w:t>.</w:t>
      </w:r>
    </w:p>
    <w:p w14:paraId="40CF2192" w14:textId="4DC60F9C" w:rsidR="7918BE6B" w:rsidRDefault="7918BE6B" w:rsidP="00483BC1">
      <w:pPr>
        <w:pStyle w:val="Odstavecseseznamem"/>
        <w:numPr>
          <w:ilvl w:val="1"/>
          <w:numId w:val="7"/>
        </w:numPr>
        <w:ind w:left="709"/>
        <w:rPr>
          <w:color w:val="000000" w:themeColor="text1"/>
        </w:rPr>
      </w:pPr>
      <w:r w:rsidRPr="55855D9D">
        <w:t xml:space="preserve">U varování 308 a 314 se nově uvádí atribut </w:t>
      </w:r>
      <w:r w:rsidRPr="55855D9D">
        <w:rPr>
          <w:i/>
        </w:rPr>
        <w:t>ozn</w:t>
      </w:r>
      <w:r w:rsidRPr="55855D9D">
        <w:t xml:space="preserve"> (týká se projektů, u kterých byl použit TS PSZ 2022).</w:t>
      </w:r>
    </w:p>
    <w:p w14:paraId="072E94FF" w14:textId="27E4675C" w:rsidR="55855D9D" w:rsidRDefault="4C7BED7D" w:rsidP="00483BC1">
      <w:pPr>
        <w:pStyle w:val="Odstavecseseznamem"/>
        <w:numPr>
          <w:ilvl w:val="1"/>
          <w:numId w:val="7"/>
        </w:numPr>
        <w:ind w:left="709"/>
        <w:rPr>
          <w:color w:val="000000" w:themeColor="text1"/>
        </w:rPr>
      </w:pPr>
      <w:r w:rsidRPr="55855D9D">
        <w:t>Doplnění nových kontrol nebo jejich upřesnění v</w:t>
      </w:r>
      <w:r w:rsidR="55855D9D" w:rsidRPr="55855D9D">
        <w:t xml:space="preserve"> </w:t>
      </w:r>
      <w:r w:rsidRPr="55855D9D">
        <w:t>závislosti na nové příloze 2.</w:t>
      </w:r>
    </w:p>
    <w:p w14:paraId="56D6872E" w14:textId="7791381E" w:rsidR="003B4B88" w:rsidRDefault="003B4B88" w:rsidP="55855D9D"/>
    <w:sectPr w:rsidR="003B4B88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3BA7"/>
    <w:multiLevelType w:val="hybridMultilevel"/>
    <w:tmpl w:val="675CB230"/>
    <w:lvl w:ilvl="0" w:tplc="655CDA80">
      <w:start w:val="1"/>
      <w:numFmt w:val="lowerLetter"/>
      <w:lvlText w:val="%1."/>
      <w:lvlJc w:val="left"/>
      <w:pPr>
        <w:ind w:left="720" w:hanging="360"/>
      </w:pPr>
    </w:lvl>
    <w:lvl w:ilvl="1" w:tplc="E09C5A82">
      <w:start w:val="1"/>
      <w:numFmt w:val="lowerLetter"/>
      <w:lvlText w:val="%2."/>
      <w:lvlJc w:val="left"/>
      <w:pPr>
        <w:ind w:left="1440" w:hanging="360"/>
      </w:pPr>
    </w:lvl>
    <w:lvl w:ilvl="2" w:tplc="C47088E4">
      <w:start w:val="1"/>
      <w:numFmt w:val="lowerRoman"/>
      <w:lvlText w:val="%3."/>
      <w:lvlJc w:val="right"/>
      <w:pPr>
        <w:ind w:left="2160" w:hanging="180"/>
      </w:pPr>
    </w:lvl>
    <w:lvl w:ilvl="3" w:tplc="069E56FC">
      <w:start w:val="1"/>
      <w:numFmt w:val="decimal"/>
      <w:lvlText w:val="%4."/>
      <w:lvlJc w:val="left"/>
      <w:pPr>
        <w:ind w:left="2880" w:hanging="360"/>
      </w:pPr>
    </w:lvl>
    <w:lvl w:ilvl="4" w:tplc="64F6C4C2">
      <w:start w:val="1"/>
      <w:numFmt w:val="lowerLetter"/>
      <w:lvlText w:val="%5."/>
      <w:lvlJc w:val="left"/>
      <w:pPr>
        <w:ind w:left="3600" w:hanging="360"/>
      </w:pPr>
    </w:lvl>
    <w:lvl w:ilvl="5" w:tplc="F5E05094">
      <w:start w:val="1"/>
      <w:numFmt w:val="lowerRoman"/>
      <w:lvlText w:val="%6."/>
      <w:lvlJc w:val="right"/>
      <w:pPr>
        <w:ind w:left="4320" w:hanging="180"/>
      </w:pPr>
    </w:lvl>
    <w:lvl w:ilvl="6" w:tplc="9078DA52">
      <w:start w:val="1"/>
      <w:numFmt w:val="decimal"/>
      <w:lvlText w:val="%7."/>
      <w:lvlJc w:val="left"/>
      <w:pPr>
        <w:ind w:left="5040" w:hanging="360"/>
      </w:pPr>
    </w:lvl>
    <w:lvl w:ilvl="7" w:tplc="FEA0C85E">
      <w:start w:val="1"/>
      <w:numFmt w:val="lowerLetter"/>
      <w:lvlText w:val="%8."/>
      <w:lvlJc w:val="left"/>
      <w:pPr>
        <w:ind w:left="5760" w:hanging="360"/>
      </w:pPr>
    </w:lvl>
    <w:lvl w:ilvl="8" w:tplc="43FA60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A4682"/>
    <w:multiLevelType w:val="multilevel"/>
    <w:tmpl w:val="654C94C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B32F25"/>
    <w:multiLevelType w:val="multilevel"/>
    <w:tmpl w:val="AC48EC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EA2612"/>
    <w:multiLevelType w:val="hybridMultilevel"/>
    <w:tmpl w:val="98849246"/>
    <w:lvl w:ilvl="0" w:tplc="2612C8DA">
      <w:start w:val="1"/>
      <w:numFmt w:val="lowerLetter"/>
      <w:lvlText w:val="%1."/>
      <w:lvlJc w:val="left"/>
      <w:pPr>
        <w:ind w:left="720" w:hanging="360"/>
      </w:pPr>
    </w:lvl>
    <w:lvl w:ilvl="1" w:tplc="F572AD2A">
      <w:start w:val="1"/>
      <w:numFmt w:val="lowerLetter"/>
      <w:lvlText w:val="%2."/>
      <w:lvlJc w:val="left"/>
      <w:pPr>
        <w:ind w:left="1440" w:hanging="360"/>
      </w:pPr>
    </w:lvl>
    <w:lvl w:ilvl="2" w:tplc="A5F63DFA">
      <w:start w:val="1"/>
      <w:numFmt w:val="lowerRoman"/>
      <w:lvlText w:val="%3."/>
      <w:lvlJc w:val="right"/>
      <w:pPr>
        <w:ind w:left="2160" w:hanging="180"/>
      </w:pPr>
    </w:lvl>
    <w:lvl w:ilvl="3" w:tplc="18166FA2">
      <w:start w:val="1"/>
      <w:numFmt w:val="decimal"/>
      <w:lvlText w:val="%4."/>
      <w:lvlJc w:val="left"/>
      <w:pPr>
        <w:ind w:left="2880" w:hanging="360"/>
      </w:pPr>
    </w:lvl>
    <w:lvl w:ilvl="4" w:tplc="05F8599C">
      <w:start w:val="1"/>
      <w:numFmt w:val="lowerLetter"/>
      <w:lvlText w:val="%5."/>
      <w:lvlJc w:val="left"/>
      <w:pPr>
        <w:ind w:left="3600" w:hanging="360"/>
      </w:pPr>
    </w:lvl>
    <w:lvl w:ilvl="5" w:tplc="1F545CAA">
      <w:start w:val="1"/>
      <w:numFmt w:val="lowerRoman"/>
      <w:lvlText w:val="%6."/>
      <w:lvlJc w:val="right"/>
      <w:pPr>
        <w:ind w:left="4320" w:hanging="180"/>
      </w:pPr>
    </w:lvl>
    <w:lvl w:ilvl="6" w:tplc="38BCEFE6">
      <w:start w:val="1"/>
      <w:numFmt w:val="decimal"/>
      <w:lvlText w:val="%7."/>
      <w:lvlJc w:val="left"/>
      <w:pPr>
        <w:ind w:left="5040" w:hanging="360"/>
      </w:pPr>
    </w:lvl>
    <w:lvl w:ilvl="7" w:tplc="E0FA5FC8">
      <w:start w:val="1"/>
      <w:numFmt w:val="lowerLetter"/>
      <w:lvlText w:val="%8."/>
      <w:lvlJc w:val="left"/>
      <w:pPr>
        <w:ind w:left="5760" w:hanging="360"/>
      </w:pPr>
    </w:lvl>
    <w:lvl w:ilvl="8" w:tplc="F13E6F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4AD7"/>
    <w:multiLevelType w:val="multilevel"/>
    <w:tmpl w:val="B7002F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D79B0"/>
    <w:multiLevelType w:val="multilevel"/>
    <w:tmpl w:val="452AD7D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3727E2"/>
    <w:multiLevelType w:val="hybridMultilevel"/>
    <w:tmpl w:val="83F6DDFC"/>
    <w:lvl w:ilvl="0" w:tplc="A2D2F0D0">
      <w:start w:val="1"/>
      <w:numFmt w:val="decimal"/>
      <w:lvlText w:val="%1."/>
      <w:lvlJc w:val="left"/>
      <w:pPr>
        <w:ind w:left="720" w:hanging="360"/>
      </w:pPr>
    </w:lvl>
    <w:lvl w:ilvl="1" w:tplc="05A4A262">
      <w:start w:val="1"/>
      <w:numFmt w:val="lowerLetter"/>
      <w:lvlText w:val="%2."/>
      <w:lvlJc w:val="left"/>
      <w:pPr>
        <w:ind w:left="1440" w:hanging="360"/>
      </w:pPr>
    </w:lvl>
    <w:lvl w:ilvl="2" w:tplc="2C2E5758">
      <w:start w:val="1"/>
      <w:numFmt w:val="lowerRoman"/>
      <w:lvlText w:val="%3."/>
      <w:lvlJc w:val="right"/>
      <w:pPr>
        <w:ind w:left="2160" w:hanging="180"/>
      </w:pPr>
    </w:lvl>
    <w:lvl w:ilvl="3" w:tplc="487E98D8">
      <w:start w:val="1"/>
      <w:numFmt w:val="decimal"/>
      <w:lvlText w:val="%4."/>
      <w:lvlJc w:val="left"/>
      <w:pPr>
        <w:ind w:left="2880" w:hanging="360"/>
      </w:pPr>
    </w:lvl>
    <w:lvl w:ilvl="4" w:tplc="446A1234">
      <w:start w:val="1"/>
      <w:numFmt w:val="lowerLetter"/>
      <w:lvlText w:val="%5."/>
      <w:lvlJc w:val="left"/>
      <w:pPr>
        <w:ind w:left="3600" w:hanging="360"/>
      </w:pPr>
    </w:lvl>
    <w:lvl w:ilvl="5" w:tplc="D9F05280">
      <w:start w:val="1"/>
      <w:numFmt w:val="lowerRoman"/>
      <w:lvlText w:val="%6."/>
      <w:lvlJc w:val="right"/>
      <w:pPr>
        <w:ind w:left="4320" w:hanging="180"/>
      </w:pPr>
    </w:lvl>
    <w:lvl w:ilvl="6" w:tplc="84F65452">
      <w:start w:val="1"/>
      <w:numFmt w:val="decimal"/>
      <w:lvlText w:val="%7."/>
      <w:lvlJc w:val="left"/>
      <w:pPr>
        <w:ind w:left="5040" w:hanging="360"/>
      </w:pPr>
    </w:lvl>
    <w:lvl w:ilvl="7" w:tplc="3C08508C">
      <w:start w:val="1"/>
      <w:numFmt w:val="lowerLetter"/>
      <w:lvlText w:val="%8."/>
      <w:lvlJc w:val="left"/>
      <w:pPr>
        <w:ind w:left="5760" w:hanging="360"/>
      </w:pPr>
    </w:lvl>
    <w:lvl w:ilvl="8" w:tplc="79CE36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B88"/>
    <w:rsid w:val="000F752C"/>
    <w:rsid w:val="00125841"/>
    <w:rsid w:val="00151DF4"/>
    <w:rsid w:val="001627E5"/>
    <w:rsid w:val="002036AB"/>
    <w:rsid w:val="00216FB9"/>
    <w:rsid w:val="002B3EEF"/>
    <w:rsid w:val="00355E03"/>
    <w:rsid w:val="003B4B88"/>
    <w:rsid w:val="003C0F5F"/>
    <w:rsid w:val="00483BC1"/>
    <w:rsid w:val="00505EE5"/>
    <w:rsid w:val="00513705"/>
    <w:rsid w:val="0054097E"/>
    <w:rsid w:val="0054289F"/>
    <w:rsid w:val="005D04AA"/>
    <w:rsid w:val="00615447"/>
    <w:rsid w:val="00644C0A"/>
    <w:rsid w:val="006D1305"/>
    <w:rsid w:val="00724B85"/>
    <w:rsid w:val="00741A8C"/>
    <w:rsid w:val="007B45F4"/>
    <w:rsid w:val="008A29AA"/>
    <w:rsid w:val="008A78CD"/>
    <w:rsid w:val="00925EEB"/>
    <w:rsid w:val="009B4366"/>
    <w:rsid w:val="00A8099C"/>
    <w:rsid w:val="00C3554D"/>
    <w:rsid w:val="00C809B7"/>
    <w:rsid w:val="00C84173"/>
    <w:rsid w:val="00CB7521"/>
    <w:rsid w:val="00D064D1"/>
    <w:rsid w:val="00D5566A"/>
    <w:rsid w:val="00D64477"/>
    <w:rsid w:val="00D65DE9"/>
    <w:rsid w:val="00D854D9"/>
    <w:rsid w:val="00DE1A88"/>
    <w:rsid w:val="00FB303B"/>
    <w:rsid w:val="0D316DCB"/>
    <w:rsid w:val="1E417932"/>
    <w:rsid w:val="4BAC998D"/>
    <w:rsid w:val="4C7BED7D"/>
    <w:rsid w:val="55855D9D"/>
    <w:rsid w:val="582B4168"/>
    <w:rsid w:val="73C01870"/>
    <w:rsid w:val="7918B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4D71"/>
  <w15:docId w15:val="{2E390D40-7572-44DA-A847-9694EB5B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61C"/>
    <w:pPr>
      <w:spacing w:after="200" w:line="276" w:lineRule="auto"/>
    </w:pPr>
  </w:style>
  <w:style w:type="paragraph" w:styleId="Nadpis1">
    <w:name w:val="heading 1"/>
    <w:basedOn w:val="Normln"/>
    <w:qFormat/>
    <w:rsid w:val="001426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qFormat/>
    <w:rsid w:val="001426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qFormat/>
    <w:rsid w:val="001426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qFormat/>
    <w:rsid w:val="001426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rsid w:val="0014261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qFormat/>
    <w:rsid w:val="001426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2A0BC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A0BC7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A0BC7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A0BC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i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qFormat/>
    <w:rsid w:val="0014261C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qFormat/>
    <w:rsid w:val="001426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9A0FE5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A0BC7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2A0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A0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npsmoodstavce"/>
    <w:rsid w:val="00151DF4"/>
  </w:style>
  <w:style w:type="character" w:customStyle="1" w:styleId="spellingerror">
    <w:name w:val="spellingerror"/>
    <w:basedOn w:val="Standardnpsmoodstavce"/>
    <w:rsid w:val="00151DF4"/>
  </w:style>
  <w:style w:type="table" w:customStyle="1" w:styleId="TableNormal1">
    <w:name w:val="Table Normal1"/>
    <w:rsid w:val="001627E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1442C-C74F-46EE-A45B-98B32363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Drápal Luděk Ing.et Ing.</dc:creator>
  <cp:keywords/>
  <dc:description/>
  <cp:lastModifiedBy>Egreši Petr Ing.</cp:lastModifiedBy>
  <cp:revision>48</cp:revision>
  <cp:lastPrinted>2016-12-08T21:34:00Z</cp:lastPrinted>
  <dcterms:created xsi:type="dcterms:W3CDTF">2017-12-06T20:49:00Z</dcterms:created>
  <dcterms:modified xsi:type="dcterms:W3CDTF">2022-07-15T11:54:00Z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