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4054048A" w:rsidR="0019499B" w:rsidRDefault="00E96687" w:rsidP="0019499B">
            <w:pPr>
              <w:jc w:val="center"/>
              <w:rPr>
                <w:b/>
                <w:bCs/>
                <w:u w:val="single"/>
              </w:rPr>
            </w:pPr>
            <w:r w:rsidRPr="00E96687"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16A01D8A" w:rsidR="0019499B" w:rsidRDefault="00E96687" w:rsidP="0019499B">
            <w:pPr>
              <w:jc w:val="center"/>
              <w:rPr>
                <w:b/>
                <w:bCs/>
                <w:u w:val="single"/>
              </w:rPr>
            </w:pPr>
            <w:r w:rsidRPr="00E96687">
              <w:rPr>
                <w:b/>
                <w:bCs/>
                <w:u w:val="single"/>
              </w:rPr>
              <w:t>Husinecká 1024/</w:t>
            </w:r>
            <w:proofErr w:type="gramStart"/>
            <w:r w:rsidRPr="00E96687">
              <w:rPr>
                <w:b/>
                <w:bCs/>
                <w:u w:val="single"/>
              </w:rPr>
              <w:t>11a</w:t>
            </w:r>
            <w:proofErr w:type="gramEnd"/>
            <w:r w:rsidRPr="00E96687">
              <w:rPr>
                <w:b/>
                <w:bCs/>
                <w:u w:val="single"/>
              </w:rPr>
              <w:t>, 130 Praha 3 - Žižkov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5F12E4D9" w:rsidR="0019499B" w:rsidRDefault="00E96687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Louny, Pražská 765, 440 01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6E50D907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66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756E933E" w14:textId="48213F0F" w:rsidR="00F45B6C" w:rsidRDefault="00E96687" w:rsidP="00E96687">
            <w:r>
              <w:t xml:space="preserve">         </w:t>
            </w:r>
            <w:r w:rsidRPr="00E96687">
              <w:rPr>
                <w:color w:val="00B050"/>
              </w:rPr>
              <w:t>Ministerstvo zemědělství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7C492F99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6687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7B91A520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6687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3913E3AB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9668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27DB6D86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E96687" w:rsidRPr="00E96687">
        <w:rPr>
          <w:rFonts w:ascii="Exo 2" w:eastAsia="Times New Roman" w:hAnsi="Exo 2" w:cs="Times New Roman"/>
          <w:color w:val="00B050"/>
          <w:sz w:val="20"/>
          <w:szCs w:val="20"/>
          <w:lang w:eastAsia="cs-CZ"/>
        </w:rPr>
        <w:t>provoz v 1 a 2 NP hlavní vchod 2 stupně vzhůru, vstup na hlavní schodiště 2 stupně dolů, výstup do 2 NP 14 stupňů podesta 14 stupňů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806FAB1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5035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1D2927BE" w14:textId="77777777" w:rsidR="0023075E" w:rsidRDefault="0023075E" w:rsidP="00F00A2F">
      <w:pPr>
        <w:pStyle w:val="Odstavecseseznamem"/>
      </w:pPr>
    </w:p>
    <w:p w14:paraId="4246E700" w14:textId="15A40887" w:rsidR="00F00A2F" w:rsidRDefault="0023075E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15B37127" wp14:editId="132C02C3">
            <wp:extent cx="3539653" cy="1991117"/>
            <wp:effectExtent l="0" t="318" r="3493" b="3492"/>
            <wp:docPr id="1643895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95844" name="Obrázek 164389584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6549" cy="205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238777" wp14:editId="110A34B9">
            <wp:extent cx="3538226" cy="1990314"/>
            <wp:effectExtent l="0" t="635" r="4445" b="4445"/>
            <wp:docPr id="8299847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84790" name="Obrázek 82998479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3307" cy="204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9DC03B" wp14:editId="61D055B1">
            <wp:extent cx="3579092" cy="2013302"/>
            <wp:effectExtent l="0" t="4445" r="0" b="0"/>
            <wp:docPr id="193300743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07434" name="Obrázek 1933007434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4876" cy="205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7E86D" wp14:editId="517C59D3">
            <wp:extent cx="3578870" cy="2013177"/>
            <wp:effectExtent l="0" t="4445" r="0" b="0"/>
            <wp:docPr id="208094009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40094" name="Obrázek 208094009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2419" cy="20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1792D5CB" w14:textId="397B3126" w:rsidR="00A03B53" w:rsidRPr="00D5035D" w:rsidRDefault="00D5035D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00B050"/>
          <w:sz w:val="20"/>
          <w:szCs w:val="20"/>
          <w:lang w:eastAsia="cs-CZ"/>
        </w:rPr>
      </w:pPr>
      <w:r w:rsidRPr="00D5035D">
        <w:rPr>
          <w:rFonts w:ascii="Exo 2" w:eastAsia="Times New Roman" w:hAnsi="Exo 2" w:cs="Times New Roman"/>
          <w:color w:val="00B050"/>
          <w:sz w:val="20"/>
          <w:szCs w:val="20"/>
          <w:lang w:eastAsia="cs-CZ"/>
        </w:rPr>
        <w:t xml:space="preserve">Po stavebních úpravách vstup zadem přes auto vjezd ke garážím, schod + úzká futra obsluha občana v 1 NP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3075E"/>
    <w:rsid w:val="003654DA"/>
    <w:rsid w:val="0046677C"/>
    <w:rsid w:val="00521187"/>
    <w:rsid w:val="005A77B3"/>
    <w:rsid w:val="007B7328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D37DD9"/>
    <w:rsid w:val="00D5035D"/>
    <w:rsid w:val="00E96687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1525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4</cp:revision>
  <cp:lastPrinted>2023-04-24T06:54:00Z</cp:lastPrinted>
  <dcterms:created xsi:type="dcterms:W3CDTF">2023-05-03T07:16:00Z</dcterms:created>
  <dcterms:modified xsi:type="dcterms:W3CDTF">2023-07-04T11:08:00Z</dcterms:modified>
</cp:coreProperties>
</file>