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0"/>
      </w:tblGrid>
      <w:tr w:rsidR="0019499B" w14:paraId="76C68377" w14:textId="77777777" w:rsidTr="00BF7292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4208" w:type="dxa"/>
          </w:tcPr>
          <w:p w14:paraId="3D9ACD65" w14:textId="43BB6587" w:rsidR="0019499B" w:rsidRDefault="00BF7292" w:rsidP="00BF7292">
            <w:pPr>
              <w:rPr>
                <w:b/>
                <w:bCs/>
                <w:u w:val="single"/>
              </w:rPr>
            </w:pPr>
            <w:r w:rsidRPr="0039646F">
              <w:rPr>
                <w:rFonts w:ascii="Arial" w:hAnsi="Arial" w:cs="Arial"/>
                <w:color w:val="000000"/>
              </w:rPr>
              <w:t>Pobočka Příbram</w:t>
            </w:r>
            <w:r w:rsidRPr="0039646F">
              <w:rPr>
                <w:rFonts w:ascii="Arial" w:hAnsi="Arial" w:cs="Arial"/>
              </w:rPr>
              <w:t xml:space="preserve"> </w:t>
            </w:r>
          </w:p>
        </w:tc>
      </w:tr>
      <w:tr w:rsidR="0019499B" w14:paraId="586A0CF8" w14:textId="77777777" w:rsidTr="00BF7292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4208" w:type="dxa"/>
          </w:tcPr>
          <w:p w14:paraId="140D2C52" w14:textId="56F7EB5D" w:rsidR="0019499B" w:rsidRDefault="00BF7292" w:rsidP="00BF7292">
            <w:pPr>
              <w:rPr>
                <w:b/>
                <w:bCs/>
                <w:u w:val="single"/>
              </w:rPr>
            </w:pPr>
            <w:r w:rsidRPr="0039646F">
              <w:rPr>
                <w:rFonts w:ascii="Arial" w:hAnsi="Arial" w:cs="Arial"/>
              </w:rPr>
              <w:t>Poštovní 4, 26101 Příbram</w:t>
            </w:r>
          </w:p>
        </w:tc>
      </w:tr>
      <w:tr w:rsidR="0019499B" w14:paraId="616E9F41" w14:textId="77777777" w:rsidTr="00BF7292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4208" w:type="dxa"/>
          </w:tcPr>
          <w:p w14:paraId="67F2E281" w14:textId="4AB69907" w:rsidR="00BF7292" w:rsidRPr="009429E6" w:rsidRDefault="00BF7292" w:rsidP="00BF7292">
            <w:pPr>
              <w:rPr>
                <w:rFonts w:ascii="Arial" w:hAnsi="Arial" w:cs="Arial"/>
              </w:rPr>
            </w:pPr>
            <w:r w:rsidRPr="009429E6">
              <w:rPr>
                <w:rFonts w:ascii="Arial" w:hAnsi="Arial" w:cs="Arial"/>
              </w:rPr>
              <w:t>2.NP</w:t>
            </w:r>
            <w:r>
              <w:rPr>
                <w:rFonts w:ascii="Arial" w:hAnsi="Arial" w:cs="Arial"/>
              </w:rPr>
              <w:t xml:space="preserve"> </w:t>
            </w:r>
            <w:r w:rsidRPr="009429E6">
              <w:rPr>
                <w:rFonts w:ascii="Arial" w:hAnsi="Arial" w:cs="Arial"/>
              </w:rPr>
              <w:t>kanceláře, spisovna</w:t>
            </w:r>
          </w:p>
          <w:p w14:paraId="16234083" w14:textId="1ED00E14" w:rsidR="0019499B" w:rsidRDefault="00BF7292" w:rsidP="00BF7292">
            <w:pPr>
              <w:rPr>
                <w:b/>
                <w:bCs/>
                <w:u w:val="single"/>
              </w:rPr>
            </w:pPr>
            <w:r w:rsidRPr="009429E6">
              <w:rPr>
                <w:rFonts w:ascii="Arial" w:hAnsi="Arial" w:cs="Arial"/>
              </w:rPr>
              <w:t>1.NP spisovny</w:t>
            </w:r>
          </w:p>
        </w:tc>
      </w:tr>
      <w:tr w:rsidR="0019499B" w14:paraId="0B590896" w14:textId="77777777" w:rsidTr="00BF7292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4208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27FEB990" w:rsidR="00F45B6C" w:rsidRDefault="00000000" w:rsidP="00F45B6C">
            <w:sdt>
              <w:sdtPr>
                <w:id w:val="-87823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77777777" w:rsidR="007F60DF" w:rsidRDefault="007F60DF" w:rsidP="00F45B6C"/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6CD08730" w14:textId="4DA39E54" w:rsidR="007F60DF" w:rsidRDefault="00000000" w:rsidP="00F45B6C">
            <w:sdt>
              <w:sdtPr>
                <w:id w:val="1288006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F729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5D4EC725" w14:textId="77777777" w:rsidR="00F45B6C" w:rsidRDefault="00BF7292" w:rsidP="007F60DF">
            <w:pPr>
              <w:ind w:firstLine="406"/>
            </w:pPr>
            <w:r>
              <w:t>Ministerstvo zemědělství</w:t>
            </w:r>
          </w:p>
          <w:p w14:paraId="1BCC655B" w14:textId="02E95D0E" w:rsidR="00BF7292" w:rsidRPr="00B03773" w:rsidRDefault="00BF7292" w:rsidP="007F60DF">
            <w:pPr>
              <w:ind w:firstLine="406"/>
            </w:pP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1401C3DF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F7292">
            <w:rPr>
              <w:rFonts w:ascii="MS Gothic" w:eastAsia="MS Gothic" w:hAnsi="MS Gothic" w:hint="eastAsia"/>
            </w:rPr>
            <w:t>☒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73BD4E65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517FBBA9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F7292">
            <w:rPr>
              <w:rFonts w:ascii="MS Gothic" w:eastAsia="MS Gothic" w:hAnsi="MS Gothic" w:hint="eastAsia"/>
            </w:rPr>
            <w:t>☒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59DB49FD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2C2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☐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0A5AD808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A22C2">
            <w:rPr>
              <w:rFonts w:ascii="MS Gothic" w:eastAsia="MS Gothic" w:hAnsi="MS Gothic" w:hint="eastAsia"/>
            </w:rPr>
            <w:t>☒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7FEED79A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4022">
            <w:rPr>
              <w:rFonts w:ascii="MS Gothic" w:eastAsia="MS Gothic" w:hAnsi="MS Gothic" w:hint="eastAsia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5B1294B3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F7292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726421A5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0363CA85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F7292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CC5A5CE" w14:textId="77777777" w:rsidR="001A4E5B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</w:t>
      </w:r>
      <w:r w:rsidR="00BF7292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ace: </w:t>
      </w:r>
    </w:p>
    <w:p w14:paraId="6590DF15" w14:textId="4D41B4E5" w:rsidR="008B75D5" w:rsidRPr="00B03773" w:rsidRDefault="00BF7292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eastAsia="Times New Roman" w:cstheme="minorHAnsi"/>
          <w:b/>
          <w:bCs/>
          <w:color w:val="303F50"/>
          <w:sz w:val="20"/>
          <w:szCs w:val="20"/>
          <w:lang w:eastAsia="cs-CZ"/>
        </w:rPr>
        <w:t xml:space="preserve">V </w:t>
      </w:r>
      <w:r w:rsidRPr="00BF7292">
        <w:rPr>
          <w:rFonts w:eastAsia="Times New Roman" w:cstheme="minorHAnsi"/>
          <w:b/>
          <w:bCs/>
          <w:color w:val="303F50"/>
          <w:sz w:val="20"/>
          <w:szCs w:val="20"/>
          <w:lang w:eastAsia="cs-CZ"/>
        </w:rPr>
        <w:t>budově se mezi jednotlivými patry dá pohybovat pouze po vnitřním</w:t>
      </w:r>
      <w:r>
        <w:rPr>
          <w:rFonts w:eastAsia="Times New Roman" w:cstheme="minorHAnsi"/>
          <w:b/>
          <w:bCs/>
          <w:color w:val="303F50"/>
          <w:sz w:val="20"/>
          <w:szCs w:val="20"/>
          <w:lang w:eastAsia="cs-CZ"/>
        </w:rPr>
        <w:t xml:space="preserve"> </w:t>
      </w:r>
      <w:r w:rsidRPr="00BF7292">
        <w:rPr>
          <w:rFonts w:eastAsia="Times New Roman" w:cstheme="minorHAnsi"/>
          <w:b/>
          <w:bCs/>
          <w:color w:val="303F50"/>
          <w:sz w:val="20"/>
          <w:szCs w:val="20"/>
          <w:lang w:eastAsia="cs-CZ"/>
        </w:rPr>
        <w:t>schodišti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12B56646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6A6F678D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5DE4552C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F7292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213D287C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</w:p>
    <w:p w14:paraId="4246E700" w14:textId="54E4D965" w:rsidR="00F00A2F" w:rsidRDefault="00D73126" w:rsidP="00F00A2F">
      <w:pPr>
        <w:pStyle w:val="Odstavecseseznamem"/>
      </w:pPr>
      <w:r>
        <w:rPr>
          <w:b/>
          <w:bCs/>
          <w:noProof/>
          <w:u w:val="single"/>
        </w:rPr>
        <w:lastRenderedPageBreak/>
        <w:drawing>
          <wp:inline distT="0" distB="0" distL="0" distR="0" wp14:anchorId="6A74DA4B" wp14:editId="3E8E63F7">
            <wp:extent cx="5760720" cy="4320540"/>
            <wp:effectExtent l="0" t="3810" r="127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74B579D" w14:textId="0B4D2E44" w:rsidR="00CD41AF" w:rsidRPr="00BF7292" w:rsidRDefault="007A22C2" w:rsidP="00CD41AF">
      <w:pPr>
        <w:pStyle w:val="Odstavecseseznamem"/>
        <w:spacing w:before="195" w:after="195" w:line="360" w:lineRule="auto"/>
        <w:jc w:val="both"/>
        <w:rPr>
          <w:rFonts w:eastAsia="Times New Roman" w:cstheme="minorHAnsi"/>
          <w:b/>
          <w:bCs/>
          <w:color w:val="303F50"/>
          <w:sz w:val="20"/>
          <w:szCs w:val="20"/>
          <w:lang w:eastAsia="cs-CZ"/>
        </w:rPr>
      </w:pPr>
      <w:r>
        <w:rPr>
          <w:rFonts w:eastAsia="Times New Roman" w:cstheme="minorHAnsi"/>
          <w:b/>
          <w:bCs/>
          <w:color w:val="303F50"/>
          <w:sz w:val="20"/>
          <w:szCs w:val="20"/>
          <w:lang w:eastAsia="cs-CZ"/>
        </w:rPr>
        <w:t>Přístup d</w:t>
      </w:r>
      <w:r w:rsidR="00BF7292" w:rsidRPr="00BF7292">
        <w:rPr>
          <w:rFonts w:eastAsia="Times New Roman" w:cstheme="minorHAnsi"/>
          <w:b/>
          <w:bCs/>
          <w:color w:val="303F50"/>
          <w:sz w:val="20"/>
          <w:szCs w:val="20"/>
          <w:lang w:eastAsia="cs-CZ"/>
        </w:rPr>
        <w:t xml:space="preserve">o budovy je </w:t>
      </w:r>
      <w:proofErr w:type="spellStart"/>
      <w:r w:rsidR="00BF7292" w:rsidRPr="00BF7292">
        <w:rPr>
          <w:rFonts w:eastAsia="Times New Roman" w:cstheme="minorHAnsi"/>
          <w:b/>
          <w:bCs/>
          <w:color w:val="303F50"/>
          <w:sz w:val="20"/>
          <w:szCs w:val="20"/>
          <w:lang w:eastAsia="cs-CZ"/>
        </w:rPr>
        <w:t>bezbarierový</w:t>
      </w:r>
      <w:proofErr w:type="spellEnd"/>
      <w:r w:rsidR="00BF7292" w:rsidRPr="00BF7292">
        <w:rPr>
          <w:rFonts w:eastAsia="Times New Roman" w:cstheme="minorHAnsi"/>
          <w:b/>
          <w:bCs/>
          <w:color w:val="303F50"/>
          <w:sz w:val="20"/>
          <w:szCs w:val="20"/>
          <w:lang w:eastAsia="cs-CZ"/>
        </w:rPr>
        <w:t>, ale pohyb v budově mezi jednotlivými patry je možný pouze za použití vnitřního schodiště.</w:t>
      </w: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lastRenderedPageBreak/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3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1B18F54C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457736">
    <w:abstractNumId w:val="1"/>
  </w:num>
  <w:num w:numId="2" w16cid:durableId="51780658">
    <w:abstractNumId w:val="2"/>
  </w:num>
  <w:num w:numId="3" w16cid:durableId="1307054695">
    <w:abstractNumId w:val="4"/>
  </w:num>
  <w:num w:numId="4" w16cid:durableId="745953678">
    <w:abstractNumId w:val="6"/>
  </w:num>
  <w:num w:numId="5" w16cid:durableId="1844734394">
    <w:abstractNumId w:val="0"/>
  </w:num>
  <w:num w:numId="6" w16cid:durableId="1609198404">
    <w:abstractNumId w:val="3"/>
  </w:num>
  <w:num w:numId="7" w16cid:durableId="756095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628D3"/>
    <w:rsid w:val="0019499B"/>
    <w:rsid w:val="001A4E5B"/>
    <w:rsid w:val="003654DA"/>
    <w:rsid w:val="0046677C"/>
    <w:rsid w:val="00521187"/>
    <w:rsid w:val="005A77B3"/>
    <w:rsid w:val="007A22C2"/>
    <w:rsid w:val="007F3407"/>
    <w:rsid w:val="007F60DF"/>
    <w:rsid w:val="00820D2F"/>
    <w:rsid w:val="008B75D5"/>
    <w:rsid w:val="009D22A4"/>
    <w:rsid w:val="00A03B53"/>
    <w:rsid w:val="00B03773"/>
    <w:rsid w:val="00B66685"/>
    <w:rsid w:val="00BF7292"/>
    <w:rsid w:val="00C34022"/>
    <w:rsid w:val="00C779B7"/>
    <w:rsid w:val="00CD41AF"/>
    <w:rsid w:val="00D73126"/>
    <w:rsid w:val="00F00A2F"/>
    <w:rsid w:val="00F124E1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s://www.presbariery.cz/cz/napoveda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1583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7</cp:revision>
  <cp:lastPrinted>2023-04-24T06:54:00Z</cp:lastPrinted>
  <dcterms:created xsi:type="dcterms:W3CDTF">2023-04-25T11:37:00Z</dcterms:created>
  <dcterms:modified xsi:type="dcterms:W3CDTF">2023-07-07T13:25:00Z</dcterms:modified>
</cp:coreProperties>
</file>